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23" w:rsidRPr="00DC16DC" w:rsidRDefault="00EC5D6E" w:rsidP="008C282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2"/>
          <w:szCs w:val="21"/>
        </w:rPr>
      </w:pPr>
      <w:r w:rsidRPr="00EC5D6E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様式第２－①－ロ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DC16DC" w:rsidTr="002812D6">
        <w:trPr>
          <w:trHeight w:val="1093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号</w:t>
            </w:r>
            <w:r w:rsidR="00EC5D6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ロ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の規定による認定申請書（①－</w:t>
            </w:r>
            <w:r w:rsidR="00EC5D6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ロ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）</w:t>
            </w:r>
          </w:p>
          <w:p w:rsidR="008C2823" w:rsidRPr="00A33DF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DC16DC" w:rsidRDefault="00E34295" w:rsidP="00DC1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（宛先）茂原市長</w:t>
            </w:r>
          </w:p>
          <w:p w:rsidR="002557A1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D6272B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700" w:firstLine="37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440"/>
                <w:kern w:val="0"/>
                <w:sz w:val="22"/>
                <w:szCs w:val="21"/>
                <w:fitText w:val="1320" w:id="-1187882238"/>
              </w:rPr>
              <w:t>住</w:t>
            </w:r>
            <w:r w:rsidR="008C2823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fitText w:val="1320" w:id="-1187882238"/>
              </w:rPr>
              <w:t>所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165"/>
                <w:kern w:val="0"/>
                <w:sz w:val="22"/>
                <w:szCs w:val="21"/>
                <w:fitText w:val="1320" w:id="-1187882237"/>
              </w:rPr>
              <w:t>法人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fitText w:val="1320" w:id="-1187882237"/>
              </w:rPr>
              <w:t>名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氏名</w:t>
            </w:r>
            <w:r w:rsidR="00E132DC" w:rsidRPr="00A33DF0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（代表者名</w:t>
            </w:r>
            <w:r w:rsidR="00DC16DC" w:rsidRPr="00A33DF0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）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BE475D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73"/>
                <w:kern w:val="0"/>
                <w:sz w:val="22"/>
                <w:szCs w:val="21"/>
                <w:fitText w:val="1320" w:id="-1187882236"/>
              </w:rPr>
              <w:t>電話番</w:t>
            </w:r>
            <w:r w:rsidR="00BE475D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1"/>
                <w:kern w:val="0"/>
                <w:sz w:val="22"/>
                <w:szCs w:val="21"/>
                <w:fitText w:val="1320" w:id="-1187882236"/>
              </w:rPr>
              <w:t>号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BE475D" w:rsidRPr="00DC16DC" w:rsidRDefault="00BE475D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A93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私はダイハツ工業株式会社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及び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ダイハツ九州株式会社が、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令和５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年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１２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月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２０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日から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生産活動の制限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を行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っ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ている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こ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とにより、</w:t>
            </w:r>
            <w:r w:rsidR="00A93B60" w:rsidRPr="00A93B6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下記のとおり同事業者との</w:t>
            </w:r>
            <w:r w:rsidR="00A93B60" w:rsidRPr="00A93B60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2"/>
                <w:szCs w:val="21"/>
                <w:u w:val="single"/>
              </w:rPr>
              <w:t>間接的な取引</w:t>
            </w:r>
            <w:r w:rsidR="00A93B60" w:rsidRPr="00A93B6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の連鎖関係について売上高等の減少が生じているため、経営の安定に支障が生じておりますので、中小企業信用保険法第２条第５項第２号ロの規定に基づき認定されるようお願いします。</w:t>
            </w:r>
          </w:p>
          <w:p w:rsidR="008C2823" w:rsidRPr="00DC16DC" w:rsidRDefault="008C2823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A33DF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１　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ダイハツ工業株式会社</w:t>
            </w:r>
            <w:r w:rsid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又は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ダイハツ九州株式会社に対する取引依存度</w:t>
            </w:r>
          </w:p>
          <w:p w:rsidR="008C2823" w:rsidRDefault="00A33DF0" w:rsidP="00A33D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0" w:firstLine="660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％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（Ａ／Ｂ）</w:t>
            </w:r>
          </w:p>
          <w:p w:rsidR="005F1C96" w:rsidRDefault="00A33DF0" w:rsidP="00A33D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Ａ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5F1C96"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令和　　</w:t>
            </w:r>
            <w:r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年</w:t>
            </w:r>
            <w:r w:rsidR="005F1C96"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月</w:t>
            </w:r>
            <w:r w:rsidR="005F1C96"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日から</w:t>
            </w:r>
            <w:r w:rsidR="005F1C96"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令和　　</w:t>
            </w:r>
            <w:r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年</w:t>
            </w:r>
            <w:r w:rsidR="005F1C96"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月</w:t>
            </w:r>
            <w:r w:rsidR="005F1C96"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</w:t>
            </w:r>
            <w:r w:rsidRPr="00B27F5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日まで</w:t>
            </w:r>
            <w:r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ダイハツ工業株式会社</w:t>
            </w:r>
          </w:p>
          <w:p w:rsidR="00A33DF0" w:rsidRDefault="007733DD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88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又はダイハツ九州株式会社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に</w:t>
            </w:r>
            <w:r w:rsidR="008F49F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関連する</w:t>
            </w:r>
            <w:r w:rsidR="00A33DF0" w:rsidRPr="00A33D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取引額等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　円</w:t>
            </w:r>
          </w:p>
          <w:p w:rsidR="00BD5630" w:rsidRPr="007733DD" w:rsidRDefault="007733DD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Ｂ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上記期間中の全取引額等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</w:t>
            </w: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　円</w:t>
            </w:r>
            <w:r w:rsidRPr="007733DD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cr/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FD7C7" wp14:editId="4235C0C3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F49F5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F49F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FD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F49F5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F49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BD5630" w:rsidRDefault="008C2823" w:rsidP="00BD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800" w:firstLine="616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30E005" wp14:editId="250ED7D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E005" id="テキスト ボックス 7" o:spid="_x0000_s1027" type="#_x0000_t202" style="position:absolute;left:0;text-align:left;margin-left:124.45pt;margin-top:.35pt;width:78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BD5630" w:rsidRDefault="00BD5630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07198A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Ｃ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：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事業活動の制限を受けた後最近１か月間の売上高等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2812D6" w:rsidRDefault="002812D6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8C2823" w:rsidRPr="00BD563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Ｄ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：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Ｃの期間に対応する前年１か月間の売上高等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2812D6" w:rsidRDefault="002812D6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（ロ）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（イ）の期間も含めた今後３か月間の売上高等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7C0E07" wp14:editId="43330D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0E07" id="テキスト ボックス 9" o:spid="_x0000_s1028" type="#_x0000_t202" style="position:absolute;margin-left:194pt;margin-top:10.85pt;width:7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A1070" wp14:editId="03A54D7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 w:rsidR="007733D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1070" id="テキスト ボックス 10" o:spid="_x0000_s1029" type="#_x0000_t202" style="position:absolute;margin-left:73.45pt;margin-top:2.6pt;width:129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 w:rsidR="007733D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DC16DC" w:rsidRDefault="008C2823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650" w:firstLine="583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733DD"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Ｅ：Ｃの期間後２か月間の見込み売上高等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2812D6" w:rsidRDefault="002812D6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2557A1" w:rsidRDefault="007733DD" w:rsidP="00740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3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733D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Ｆ：Ｅの期間に対応する前年の２か月間の売上高等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7733DD" w:rsidRPr="00DC16DC" w:rsidRDefault="007733DD" w:rsidP="007733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1016CF" w:rsidRDefault="00464115" w:rsidP="001016CF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（留意事項）</w:t>
      </w:r>
    </w:p>
    <w:p w:rsidR="00464115" w:rsidRPr="00DC16DC" w:rsidRDefault="00464115" w:rsidP="001016CF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①</w:t>
      </w:r>
      <w:r w:rsidR="00DC16DC" w:rsidRPr="00DC16DC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本認定とは別に、金融機関及び信用保証協会による金融上の審査があります。</w:t>
      </w:r>
    </w:p>
    <w:p w:rsidR="001016CF" w:rsidRDefault="00464115" w:rsidP="001016CF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②</w:t>
      </w:r>
      <w:r w:rsidR="00DC16DC" w:rsidRPr="00DC16DC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茂原市長から認定を受けた後、本認定の有効期間内に金融機関又は信用保証協会に対して、</w:t>
      </w:r>
    </w:p>
    <w:p w:rsidR="00464115" w:rsidRPr="00DC16DC" w:rsidRDefault="00464115" w:rsidP="001016CF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経営安定関連保証の申込みを行うことが必要です。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464115" w:rsidRPr="00DC16DC" w:rsidRDefault="00464115" w:rsidP="00BD5630">
      <w:pPr>
        <w:suppressAutoHyphens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BD5630">
        <w:rPr>
          <w:rFonts w:asciiTheme="majorEastAsia" w:eastAsiaTheme="majorEastAsia" w:hAnsiTheme="majorEastAsia" w:hint="eastAsia"/>
          <w:spacing w:val="47"/>
          <w:kern w:val="0"/>
          <w:sz w:val="22"/>
          <w:fitText w:val="2420" w:id="-1187880704"/>
        </w:rPr>
        <w:t>茂経商第</w:t>
      </w:r>
      <w:r w:rsidR="00BD5630" w:rsidRPr="00BD5630">
        <w:rPr>
          <w:rFonts w:asciiTheme="majorEastAsia" w:eastAsiaTheme="majorEastAsia" w:hAnsiTheme="majorEastAsia" w:hint="eastAsia"/>
          <w:spacing w:val="47"/>
          <w:kern w:val="0"/>
          <w:sz w:val="22"/>
          <w:fitText w:val="2420" w:id="-1187880704"/>
        </w:rPr>
        <w:t xml:space="preserve">　　　</w:t>
      </w:r>
      <w:r w:rsidRPr="00BD5630">
        <w:rPr>
          <w:rFonts w:asciiTheme="majorEastAsia" w:eastAsiaTheme="majorEastAsia" w:hAnsiTheme="majorEastAsia" w:hint="eastAsia"/>
          <w:spacing w:val="1"/>
          <w:kern w:val="0"/>
          <w:sz w:val="22"/>
          <w:fitText w:val="2420" w:id="-1187880704"/>
        </w:rPr>
        <w:t>号</w:t>
      </w:r>
    </w:p>
    <w:p w:rsidR="00464115" w:rsidRPr="00DC16DC" w:rsidRDefault="00464115" w:rsidP="00BD563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令和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年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月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日</w:t>
      </w:r>
    </w:p>
    <w:p w:rsidR="00464115" w:rsidRPr="00DC16DC" w:rsidRDefault="00464115" w:rsidP="00BD563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申請のとおり相違ないことを認定します。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 xml:space="preserve">　（注）本認定書の有効期間：令和　　年　　月　　日</w:t>
      </w:r>
      <w:r w:rsidR="001016CF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～</w:t>
      </w:r>
      <w:r w:rsidR="001016CF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8C2823" w:rsidRPr="00DC16DC" w:rsidRDefault="00464115" w:rsidP="00DC16DC">
      <w:pPr>
        <w:suppressAutoHyphens/>
        <w:wordWrap w:val="0"/>
        <w:spacing w:line="246" w:lineRule="exact"/>
        <w:jc w:val="righ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 xml:space="preserve">茂原市長　田 中　豊 彦　　　</w:t>
      </w:r>
    </w:p>
    <w:sectPr w:rsidR="008C2823" w:rsidRPr="00DC16DC" w:rsidSect="002812D6">
      <w:pgSz w:w="11906" w:h="16838"/>
      <w:pgMar w:top="1440" w:right="1080" w:bottom="1440" w:left="1080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84" w:rsidRDefault="00DC3384" w:rsidP="001D602D">
      <w:r>
        <w:separator/>
      </w:r>
    </w:p>
  </w:endnote>
  <w:endnote w:type="continuationSeparator" w:id="0">
    <w:p w:rsidR="00DC3384" w:rsidRDefault="00DC338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84" w:rsidRDefault="00DC3384" w:rsidP="001D602D">
      <w:r>
        <w:separator/>
      </w:r>
    </w:p>
  </w:footnote>
  <w:footnote w:type="continuationSeparator" w:id="0">
    <w:p w:rsidR="00DC3384" w:rsidRDefault="00DC338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016CF"/>
    <w:rsid w:val="00154A51"/>
    <w:rsid w:val="001620E2"/>
    <w:rsid w:val="0016326B"/>
    <w:rsid w:val="00171E91"/>
    <w:rsid w:val="00182122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12D6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7B43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74EA"/>
    <w:rsid w:val="003B175E"/>
    <w:rsid w:val="003B63C7"/>
    <w:rsid w:val="003C2620"/>
    <w:rsid w:val="003C39F9"/>
    <w:rsid w:val="003D2F2A"/>
    <w:rsid w:val="00461B38"/>
    <w:rsid w:val="00464115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5F1C96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00CC"/>
    <w:rsid w:val="007434FC"/>
    <w:rsid w:val="00746C3A"/>
    <w:rsid w:val="00762DFA"/>
    <w:rsid w:val="007733DD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8F49F5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5442"/>
    <w:rsid w:val="009A71A9"/>
    <w:rsid w:val="009B1C58"/>
    <w:rsid w:val="009C7C95"/>
    <w:rsid w:val="009F202F"/>
    <w:rsid w:val="009F35F4"/>
    <w:rsid w:val="00A02900"/>
    <w:rsid w:val="00A15655"/>
    <w:rsid w:val="00A33DF0"/>
    <w:rsid w:val="00A34611"/>
    <w:rsid w:val="00A57418"/>
    <w:rsid w:val="00A607F4"/>
    <w:rsid w:val="00A830D4"/>
    <w:rsid w:val="00A84F0E"/>
    <w:rsid w:val="00A87E6D"/>
    <w:rsid w:val="00A93B60"/>
    <w:rsid w:val="00AE2F39"/>
    <w:rsid w:val="00AE4572"/>
    <w:rsid w:val="00AE4E53"/>
    <w:rsid w:val="00AF1A32"/>
    <w:rsid w:val="00AF2BF0"/>
    <w:rsid w:val="00B07FA6"/>
    <w:rsid w:val="00B27F5E"/>
    <w:rsid w:val="00B649D8"/>
    <w:rsid w:val="00B66AFB"/>
    <w:rsid w:val="00B67566"/>
    <w:rsid w:val="00BB1F09"/>
    <w:rsid w:val="00BD5630"/>
    <w:rsid w:val="00BE475D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16DC"/>
    <w:rsid w:val="00DC3384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B420B"/>
    <w:rsid w:val="00EC514E"/>
    <w:rsid w:val="00EC5D6E"/>
    <w:rsid w:val="00ED24EA"/>
    <w:rsid w:val="00ED5193"/>
    <w:rsid w:val="00ED53D5"/>
    <w:rsid w:val="00EE40DA"/>
    <w:rsid w:val="00EF1F6C"/>
    <w:rsid w:val="00EF7F25"/>
    <w:rsid w:val="00F27A80"/>
    <w:rsid w:val="00F30A0D"/>
    <w:rsid w:val="00F67098"/>
    <w:rsid w:val="00F6765B"/>
    <w:rsid w:val="00F727F2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1A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55-A629-401A-9EB6-0D92C1AF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2024-01-26T02:13:00Z</dcterms:modified>
</cp:coreProperties>
</file>